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05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吴志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福建省莆田市涵江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20765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6A51E00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22137DF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7F53061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9A862D5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20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391C098AFD432FB8470578152E6B08</vt:lpwstr>
  </property>
</Properties>
</file>